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B3" w:rsidRPr="002025B3" w:rsidRDefault="002025B3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025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Аналитическая справка</w:t>
      </w:r>
    </w:p>
    <w:p w:rsidR="00363B80" w:rsidRDefault="002025B3" w:rsidP="00363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025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результатам государственной ито</w:t>
      </w:r>
      <w:r w:rsidR="00363B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говой аттестации обучающихся </w:t>
      </w:r>
    </w:p>
    <w:p w:rsidR="00363B80" w:rsidRPr="002025B3" w:rsidRDefault="00363B80" w:rsidP="00363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11-ого класса</w:t>
      </w:r>
      <w:r w:rsidRPr="00363B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A70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2025</w:t>
      </w:r>
      <w:r w:rsidRPr="002025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году</w:t>
      </w:r>
    </w:p>
    <w:p w:rsidR="002025B3" w:rsidRPr="002025B3" w:rsidRDefault="002025B3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Цель:</w:t>
      </w:r>
      <w:r w:rsidRPr="002025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определение качества образования учеников по результатам внешней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86AB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независимой оценки.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Инструментом независимой оценки образовательных достижений выпускников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 государственная итоговая аттестация.</w:t>
      </w:r>
    </w:p>
    <w:p w:rsidR="002025B3" w:rsidRPr="002025B3" w:rsidRDefault="00363B80" w:rsidP="00363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2025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году ГИА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11 проводилась в соответствии с </w:t>
      </w:r>
      <w:r w:rsidRPr="00363B80">
        <w:rPr>
          <w:rFonts w:ascii="Times New Roman" w:hAnsi="Times New Roman" w:cs="Times New Roman"/>
          <w:color w:val="22272F"/>
          <w:sz w:val="24"/>
          <w:szCs w:val="24"/>
        </w:rPr>
        <w:t>Приказом Министерства просвещения Российской Федерации и Федеральной службы по надзору в сфере образования и науки от 6 февраля 2025 г. N 78/238 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2025 году"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Выпускники сдавали экзамены по обязательным предметам: русскому языку и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математике. Выпускники, которые планируют поступление в ВУЗ, сдавали ЕГЭ по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предметам по выбору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течение года осуществлялось постоя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нное информирование учащихся 11</w:t>
      </w:r>
      <w:r w:rsidR="00254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</w:t>
      </w:r>
    </w:p>
    <w:p w:rsidR="00363B80" w:rsidRDefault="00363B80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класса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их родителей по вопросам подготовки к ГИА11: </w:t>
      </w:r>
    </w:p>
    <w:p w:rsidR="00254C9E" w:rsidRDefault="00254C9E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 ряд родительских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собраний, где рассмотрены вопросы нормативно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правового обеспечения ГИА</w:t>
      </w:r>
      <w:proofErr w:type="gramStart"/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11,подробно</w:t>
      </w:r>
      <w:proofErr w:type="gramEnd"/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изучены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инструкции для участников ЕГЭ,</w:t>
      </w:r>
    </w:p>
    <w:p w:rsidR="00254C9E" w:rsidRDefault="00254C9E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азработана и опубликована на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 «Памятка о правилах поведения на экзамене» и циклограмма организационной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подготовки к ЕГЭ. 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сведения учащихся и родителей своевременно доводились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всех диагностических работ, учителя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предметники проводили анализ работ с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 выявления причин неудач учащихся и устранения пробелов в знаниях.</w:t>
      </w:r>
    </w:p>
    <w:p w:rsidR="00934BE4" w:rsidRPr="002025B3" w:rsidRDefault="002025B3" w:rsidP="00934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Аттестат о средн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ем общем образовании получили 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выпускника из 4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</w:t>
      </w:r>
      <w:r w:rsidR="00934B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обучающихся, получивших в 202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4/25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учебном году аттестат о среднем общем образовании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отличием, – 0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человек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сдававших обязате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льный ЕГЭ по русскому языку – 4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человек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(100%);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сдававших обязательны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й ЕГЭ по математике – 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(100%);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атематику профильн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 уровня в 2024 году сдавали 2</w:t>
      </w:r>
      <w:r w:rsidR="004B2B9A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человек</w:t>
      </w:r>
      <w:r w:rsidR="00363B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4B2B9A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составило 50</w:t>
      </w:r>
    </w:p>
    <w:p w:rsidR="002025B3" w:rsidRPr="002025B3" w:rsidRDefault="00363B80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процента от обучающихся 11-ого класса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 чел. (50%) сдавали математику базового уровня.</w:t>
      </w:r>
    </w:p>
    <w:p w:rsidR="002025B3" w:rsidRPr="002025B3" w:rsidRDefault="00363B80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2024/25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учебном году обучающиеся выбрали для </w:t>
      </w:r>
      <w:proofErr w:type="gramStart"/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сдачи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ЕГЭ</w:t>
      </w:r>
      <w:proofErr w:type="gramEnd"/>
      <w:r w:rsidR="002025B3"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следующие предметы</w:t>
      </w:r>
    </w:p>
    <w:p w:rsidR="002025B3" w:rsidRPr="002025B3" w:rsidRDefault="002025B3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учебного плана:</w:t>
      </w:r>
    </w:p>
    <w:p w:rsidR="002025B3" w:rsidRPr="002025B3" w:rsidRDefault="00363B80" w:rsidP="0020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физику – 2 чел.</w:t>
      </w:r>
    </w:p>
    <w:p w:rsidR="00B02DB3" w:rsidRPr="00786ABE" w:rsidRDefault="00B02DB3" w:rsidP="004B2B9A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B02DB3" w:rsidRPr="00786ABE" w:rsidRDefault="004B2B9A" w:rsidP="00B02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AB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Сведения о результатах участия в ЕГЭ по обязательным </w:t>
      </w:r>
      <w:r w:rsidR="00B02DB3" w:rsidRPr="00786AB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предметам</w:t>
      </w:r>
    </w:p>
    <w:tbl>
      <w:tblPr>
        <w:tblStyle w:val="a3"/>
        <w:tblW w:w="10064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1726"/>
        <w:gridCol w:w="1721"/>
        <w:gridCol w:w="1775"/>
        <w:gridCol w:w="1180"/>
        <w:gridCol w:w="1678"/>
        <w:gridCol w:w="1984"/>
      </w:tblGrid>
      <w:tr w:rsidR="00B963D6" w:rsidRPr="00786ABE" w:rsidTr="00934BE4">
        <w:tc>
          <w:tcPr>
            <w:tcW w:w="1726" w:type="dxa"/>
          </w:tcPr>
          <w:p w:rsidR="00B963D6" w:rsidRPr="004B2B9A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количество выпускников</w:t>
            </w:r>
          </w:p>
          <w:p w:rsidR="00B963D6" w:rsidRPr="004B2B9A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(чел.)</w:t>
            </w:r>
          </w:p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6" w:type="dxa"/>
            <w:gridSpan w:val="3"/>
          </w:tcPr>
          <w:p w:rsidR="00B963D6" w:rsidRPr="004B2B9A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Русский язык</w:t>
            </w:r>
          </w:p>
          <w:p w:rsidR="00B963D6" w:rsidRPr="004B2B9A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мин.</w:t>
            </w:r>
          </w:p>
          <w:p w:rsidR="00B963D6" w:rsidRPr="004B2B9A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Балл-24</w:t>
            </w:r>
          </w:p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8" w:type="dxa"/>
          </w:tcPr>
          <w:p w:rsidR="00B963D6" w:rsidRPr="004B2B9A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макс.</w:t>
            </w:r>
          </w:p>
          <w:p w:rsidR="00B963D6" w:rsidRPr="004B2B9A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полученный</w:t>
            </w:r>
          </w:p>
          <w:p w:rsidR="00B963D6" w:rsidRPr="004B2B9A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(первичный    /тестовый)</w:t>
            </w:r>
          </w:p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B963D6" w:rsidRPr="004B2B9A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мин.</w:t>
            </w:r>
          </w:p>
          <w:p w:rsidR="00B963D6" w:rsidRPr="004B2B9A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</w:t>
            </w:r>
            <w:r w:rsidRPr="00786A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нный</w:t>
            </w:r>
          </w:p>
          <w:p w:rsidR="00B963D6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B963D6" w:rsidRPr="004B2B9A" w:rsidRDefault="00B963D6" w:rsidP="00B963D6">
            <w:pPr>
              <w:shd w:val="clear" w:color="auto" w:fill="FFFFFF"/>
              <w:ind w:right="51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(первичный/тестовый)</w:t>
            </w:r>
          </w:p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963D6" w:rsidRPr="00786ABE" w:rsidTr="00934BE4">
        <w:trPr>
          <w:trHeight w:val="720"/>
        </w:trPr>
        <w:tc>
          <w:tcPr>
            <w:tcW w:w="1726" w:type="dxa"/>
            <w:vMerge w:val="restart"/>
          </w:tcPr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21" w:type="dxa"/>
          </w:tcPr>
          <w:p w:rsidR="00B963D6" w:rsidRPr="00B02DB3" w:rsidRDefault="00B963D6" w:rsidP="00B963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 </w:t>
            </w: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преодолели</w:t>
            </w:r>
          </w:p>
          <w:p w:rsidR="00B963D6" w:rsidRPr="00B02DB3" w:rsidRDefault="00B963D6" w:rsidP="00B963D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минимального порога (чел.)</w:t>
            </w:r>
          </w:p>
          <w:p w:rsidR="00B963D6" w:rsidRPr="00786ABE" w:rsidRDefault="00B963D6" w:rsidP="00B963D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5" w:type="dxa"/>
          </w:tcPr>
          <w:p w:rsidR="00B963D6" w:rsidRPr="00B02DB3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% от</w:t>
            </w:r>
          </w:p>
          <w:p w:rsidR="00B963D6" w:rsidRPr="00B02DB3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участвовавших</w:t>
            </w:r>
          </w:p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0" w:type="dxa"/>
          </w:tcPr>
          <w:p w:rsidR="00B963D6" w:rsidRPr="00B02DB3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тестовый</w:t>
            </w:r>
          </w:p>
          <w:p w:rsidR="00B963D6" w:rsidRPr="00B02DB3" w:rsidRDefault="00B963D6" w:rsidP="00B963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8" w:type="dxa"/>
            <w:vMerge w:val="restart"/>
          </w:tcPr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43/81</w:t>
            </w:r>
          </w:p>
        </w:tc>
        <w:tc>
          <w:tcPr>
            <w:tcW w:w="1984" w:type="dxa"/>
            <w:vMerge w:val="restart"/>
          </w:tcPr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25/51</w:t>
            </w:r>
          </w:p>
        </w:tc>
      </w:tr>
      <w:tr w:rsidR="00B963D6" w:rsidRPr="00786ABE" w:rsidTr="00934BE4">
        <w:trPr>
          <w:trHeight w:val="390"/>
        </w:trPr>
        <w:tc>
          <w:tcPr>
            <w:tcW w:w="1726" w:type="dxa"/>
            <w:vMerge/>
          </w:tcPr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</w:tcPr>
          <w:p w:rsidR="00B963D6" w:rsidRPr="00786ABE" w:rsidRDefault="00B963D6" w:rsidP="00B963D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5" w:type="dxa"/>
          </w:tcPr>
          <w:p w:rsidR="00B963D6" w:rsidRPr="00786ABE" w:rsidRDefault="00B963D6" w:rsidP="00B963D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</w:tcPr>
          <w:p w:rsidR="00B963D6" w:rsidRPr="00786ABE" w:rsidRDefault="00B963D6" w:rsidP="00B963D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78" w:type="dxa"/>
            <w:vMerge/>
          </w:tcPr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:rsidR="00B963D6" w:rsidRPr="00786ABE" w:rsidRDefault="00B963D6" w:rsidP="00B963D6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</w:tbl>
    <w:p w:rsidR="004B2B9A" w:rsidRPr="00786ABE" w:rsidRDefault="004B2B9A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7D1" w:rsidRPr="00786ABE" w:rsidRDefault="00A017D1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7D1" w:rsidRPr="00786ABE" w:rsidRDefault="00A017D1" w:rsidP="00A017D1">
      <w:pPr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306"/>
        <w:gridCol w:w="2041"/>
        <w:gridCol w:w="1850"/>
        <w:gridCol w:w="1584"/>
        <w:gridCol w:w="1709"/>
        <w:gridCol w:w="1709"/>
      </w:tblGrid>
      <w:tr w:rsidR="00A017D1" w:rsidRPr="00786ABE" w:rsidTr="00A017D1">
        <w:tc>
          <w:tcPr>
            <w:tcW w:w="2306" w:type="dxa"/>
          </w:tcPr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количество выпускников</w:t>
            </w:r>
          </w:p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(чел.)</w:t>
            </w:r>
          </w:p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5" w:type="dxa"/>
            <w:gridSpan w:val="3"/>
          </w:tcPr>
          <w:p w:rsidR="00A017D1" w:rsidRPr="00A017D1" w:rsidRDefault="00A017D1" w:rsidP="00A017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017D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Математика</w:t>
            </w:r>
          </w:p>
          <w:p w:rsidR="00A017D1" w:rsidRPr="00A017D1" w:rsidRDefault="00A017D1" w:rsidP="00A017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017D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(база)</w:t>
            </w:r>
          </w:p>
          <w:p w:rsidR="00A017D1" w:rsidRPr="00786ABE" w:rsidRDefault="00A017D1" w:rsidP="00A017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</w:tcPr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макс.</w:t>
            </w:r>
          </w:p>
          <w:p w:rsidR="00A017D1" w:rsidRPr="004B2B9A" w:rsidRDefault="00A21B98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первичный </w:t>
            </w:r>
            <w:r w:rsidR="00A017D1"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полученный</w:t>
            </w:r>
          </w:p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  <w:r w:rsidR="00A21B9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/оценка</w:t>
            </w:r>
          </w:p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</w:tcPr>
          <w:p w:rsidR="00A017D1" w:rsidRPr="004B2B9A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мин.</w:t>
            </w:r>
          </w:p>
          <w:p w:rsidR="00A21B98" w:rsidRPr="004B2B9A" w:rsidRDefault="00A21B98" w:rsidP="00A21B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первичный </w:t>
            </w: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полученный</w:t>
            </w:r>
          </w:p>
          <w:p w:rsidR="00A21B98" w:rsidRPr="004B2B9A" w:rsidRDefault="00A21B98" w:rsidP="00A21B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/оценка</w:t>
            </w:r>
          </w:p>
          <w:p w:rsidR="00A017D1" w:rsidRPr="00786ABE" w:rsidRDefault="00A017D1" w:rsidP="00A21B9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A017D1" w:rsidRPr="00786ABE" w:rsidTr="00A017D1">
        <w:trPr>
          <w:trHeight w:val="735"/>
        </w:trPr>
        <w:tc>
          <w:tcPr>
            <w:tcW w:w="2306" w:type="dxa"/>
            <w:vMerge w:val="restart"/>
          </w:tcPr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86AB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1" w:type="dxa"/>
          </w:tcPr>
          <w:p w:rsidR="00A017D1" w:rsidRPr="00B02DB3" w:rsidRDefault="00A017D1" w:rsidP="002807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 </w:t>
            </w: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преодолели</w:t>
            </w:r>
          </w:p>
          <w:p w:rsidR="00A017D1" w:rsidRPr="00786ABE" w:rsidRDefault="00A017D1" w:rsidP="00280733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минимального порога (чел.)</w:t>
            </w:r>
          </w:p>
        </w:tc>
        <w:tc>
          <w:tcPr>
            <w:tcW w:w="1850" w:type="dxa"/>
          </w:tcPr>
          <w:p w:rsidR="00A017D1" w:rsidRPr="00B02DB3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% от</w:t>
            </w:r>
          </w:p>
          <w:p w:rsidR="00A017D1" w:rsidRPr="00B02DB3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участвовавших</w:t>
            </w:r>
          </w:p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4" w:type="dxa"/>
          </w:tcPr>
          <w:p w:rsidR="00A017D1" w:rsidRPr="00B02DB3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средний</w:t>
            </w:r>
          </w:p>
          <w:p w:rsidR="00A017D1" w:rsidRPr="00B02DB3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балл</w:t>
            </w:r>
            <w:r w:rsidR="00A21B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/оценка</w:t>
            </w:r>
          </w:p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vMerge w:val="restart"/>
          </w:tcPr>
          <w:p w:rsidR="00A017D1" w:rsidRPr="00786ABE" w:rsidRDefault="008251E8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16</w:t>
            </w:r>
            <w:r w:rsidR="00A21B9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/4</w:t>
            </w:r>
          </w:p>
        </w:tc>
        <w:tc>
          <w:tcPr>
            <w:tcW w:w="1709" w:type="dxa"/>
            <w:vMerge w:val="restart"/>
          </w:tcPr>
          <w:p w:rsidR="00A017D1" w:rsidRPr="00786ABE" w:rsidRDefault="008251E8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</w:t>
            </w:r>
            <w:r w:rsidR="00A21B9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/3</w:t>
            </w:r>
          </w:p>
        </w:tc>
      </w:tr>
      <w:tr w:rsidR="00A017D1" w:rsidRPr="00786ABE" w:rsidTr="00A017D1">
        <w:trPr>
          <w:trHeight w:val="365"/>
        </w:trPr>
        <w:tc>
          <w:tcPr>
            <w:tcW w:w="2306" w:type="dxa"/>
            <w:vMerge/>
          </w:tcPr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</w:tcPr>
          <w:p w:rsidR="00A017D1" w:rsidRPr="00786ABE" w:rsidRDefault="00A017D1" w:rsidP="002807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0" w:type="dxa"/>
          </w:tcPr>
          <w:p w:rsidR="00A017D1" w:rsidRPr="00786ABE" w:rsidRDefault="00A017D1" w:rsidP="0028073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</w:tcPr>
          <w:p w:rsidR="00A017D1" w:rsidRPr="00786ABE" w:rsidRDefault="00A21B98" w:rsidP="0028073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12/</w:t>
            </w:r>
            <w:r w:rsidR="008251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9" w:type="dxa"/>
            <w:vMerge/>
          </w:tcPr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vMerge/>
          </w:tcPr>
          <w:p w:rsidR="00A017D1" w:rsidRPr="00786ABE" w:rsidRDefault="00A017D1" w:rsidP="00280733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</w:tbl>
    <w:p w:rsidR="00A017D1" w:rsidRPr="00786ABE" w:rsidRDefault="00A017D1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1"/>
        <w:gridCol w:w="1708"/>
        <w:gridCol w:w="1411"/>
        <w:gridCol w:w="1421"/>
        <w:gridCol w:w="2406"/>
        <w:gridCol w:w="2552"/>
      </w:tblGrid>
      <w:tr w:rsidR="008251E8" w:rsidRPr="00786ABE" w:rsidTr="008251E8">
        <w:tc>
          <w:tcPr>
            <w:tcW w:w="1701" w:type="dxa"/>
          </w:tcPr>
          <w:p w:rsidR="008251E8" w:rsidRPr="004B2B9A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количество выпускников</w:t>
            </w:r>
          </w:p>
          <w:p w:rsidR="008251E8" w:rsidRPr="004B2B9A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(чел.)</w:t>
            </w:r>
          </w:p>
          <w:p w:rsidR="008251E8" w:rsidRPr="00786ABE" w:rsidRDefault="008251E8" w:rsidP="007A3184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0" w:type="dxa"/>
            <w:gridSpan w:val="3"/>
          </w:tcPr>
          <w:p w:rsidR="008251E8" w:rsidRPr="00A017D1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A017D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Математика</w:t>
            </w:r>
          </w:p>
          <w:p w:rsidR="008251E8" w:rsidRPr="00A017D1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(профиль</w:t>
            </w:r>
            <w:r w:rsidRPr="00A017D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)</w:t>
            </w:r>
          </w:p>
          <w:p w:rsidR="008251E8" w:rsidRPr="00786ABE" w:rsidRDefault="008251E8" w:rsidP="007A31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6" w:type="dxa"/>
          </w:tcPr>
          <w:p w:rsidR="008251E8" w:rsidRPr="004B2B9A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макс.</w:t>
            </w:r>
          </w:p>
          <w:p w:rsidR="008251E8" w:rsidRPr="004B2B9A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полученный</w:t>
            </w:r>
          </w:p>
          <w:p w:rsidR="008251E8" w:rsidRPr="004B2B9A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(первичный    /тестовый)</w:t>
            </w:r>
          </w:p>
          <w:p w:rsidR="008251E8" w:rsidRPr="00786ABE" w:rsidRDefault="008251E8" w:rsidP="007A3184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8251E8" w:rsidRPr="004B2B9A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мин.</w:t>
            </w:r>
          </w:p>
          <w:p w:rsidR="008251E8" w:rsidRPr="004B2B9A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</w:t>
            </w:r>
            <w:r w:rsidRPr="00786A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нный</w:t>
            </w:r>
          </w:p>
          <w:p w:rsidR="008251E8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8251E8" w:rsidRPr="004B2B9A" w:rsidRDefault="008251E8" w:rsidP="007A3184">
            <w:pPr>
              <w:shd w:val="clear" w:color="auto" w:fill="FFFFFF"/>
              <w:ind w:right="51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(первичный/тестовый)</w:t>
            </w:r>
          </w:p>
          <w:p w:rsidR="008251E8" w:rsidRPr="00786ABE" w:rsidRDefault="008251E8" w:rsidP="007A3184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251E8" w:rsidRPr="00786ABE" w:rsidTr="008251E8">
        <w:trPr>
          <w:trHeight w:val="735"/>
        </w:trPr>
        <w:tc>
          <w:tcPr>
            <w:tcW w:w="1701" w:type="dxa"/>
            <w:vMerge w:val="restart"/>
          </w:tcPr>
          <w:p w:rsidR="008251E8" w:rsidRPr="00786ABE" w:rsidRDefault="008251E8" w:rsidP="007A3184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86AB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8" w:type="dxa"/>
          </w:tcPr>
          <w:p w:rsidR="008251E8" w:rsidRPr="00B02DB3" w:rsidRDefault="008251E8" w:rsidP="007A31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 </w:t>
            </w: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преодолели</w:t>
            </w:r>
          </w:p>
          <w:p w:rsidR="008251E8" w:rsidRPr="00786ABE" w:rsidRDefault="008251E8" w:rsidP="007A3184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минимального порога (чел.)</w:t>
            </w:r>
          </w:p>
        </w:tc>
        <w:tc>
          <w:tcPr>
            <w:tcW w:w="1411" w:type="dxa"/>
          </w:tcPr>
          <w:p w:rsidR="008251E8" w:rsidRPr="00B02DB3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% от</w:t>
            </w:r>
          </w:p>
          <w:p w:rsidR="008251E8" w:rsidRPr="00B02DB3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участвовавших</w:t>
            </w:r>
          </w:p>
          <w:p w:rsidR="008251E8" w:rsidRPr="00786ABE" w:rsidRDefault="008251E8" w:rsidP="007A3184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1" w:type="dxa"/>
          </w:tcPr>
          <w:p w:rsidR="008251E8" w:rsidRPr="00B02DB3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средний</w:t>
            </w:r>
          </w:p>
          <w:p w:rsidR="008251E8" w:rsidRPr="00B02DB3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8251E8" w:rsidRPr="00786ABE" w:rsidRDefault="008251E8" w:rsidP="007A3184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тестовый</w:t>
            </w:r>
          </w:p>
        </w:tc>
        <w:tc>
          <w:tcPr>
            <w:tcW w:w="2406" w:type="dxa"/>
            <w:vMerge w:val="restart"/>
          </w:tcPr>
          <w:p w:rsidR="008251E8" w:rsidRPr="00786ABE" w:rsidRDefault="008251E8" w:rsidP="007A3184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12/70</w:t>
            </w:r>
          </w:p>
        </w:tc>
        <w:tc>
          <w:tcPr>
            <w:tcW w:w="2552" w:type="dxa"/>
            <w:vMerge w:val="restart"/>
          </w:tcPr>
          <w:p w:rsidR="008251E8" w:rsidRPr="00786ABE" w:rsidRDefault="008251E8" w:rsidP="007A3184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8/46</w:t>
            </w:r>
          </w:p>
        </w:tc>
      </w:tr>
      <w:tr w:rsidR="008251E8" w:rsidRPr="00786ABE" w:rsidTr="008251E8">
        <w:trPr>
          <w:trHeight w:val="365"/>
        </w:trPr>
        <w:tc>
          <w:tcPr>
            <w:tcW w:w="1701" w:type="dxa"/>
            <w:vMerge/>
          </w:tcPr>
          <w:p w:rsidR="008251E8" w:rsidRPr="00786ABE" w:rsidRDefault="008251E8" w:rsidP="007A3184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8" w:type="dxa"/>
          </w:tcPr>
          <w:p w:rsidR="008251E8" w:rsidRPr="00786ABE" w:rsidRDefault="008251E8" w:rsidP="007A31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</w:tcPr>
          <w:p w:rsidR="008251E8" w:rsidRPr="00786ABE" w:rsidRDefault="008251E8" w:rsidP="007A318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</w:tcPr>
          <w:p w:rsidR="008251E8" w:rsidRPr="00786ABE" w:rsidRDefault="008251E8" w:rsidP="007A318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6" w:type="dxa"/>
            <w:vMerge/>
          </w:tcPr>
          <w:p w:rsidR="008251E8" w:rsidRPr="00786ABE" w:rsidRDefault="008251E8" w:rsidP="007A3184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8251E8" w:rsidRPr="00786ABE" w:rsidRDefault="008251E8" w:rsidP="007A3184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</w:tbl>
    <w:p w:rsidR="008251E8" w:rsidRPr="00786ABE" w:rsidRDefault="008251E8" w:rsidP="008251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E4" w:rsidRPr="00786ABE" w:rsidRDefault="00006AE4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B29" w:rsidRPr="00786ABE" w:rsidRDefault="00917B29" w:rsidP="00B02DB3">
      <w:pPr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006AE4" w:rsidRPr="00786ABE" w:rsidRDefault="00917B29" w:rsidP="00786ABE">
      <w:pPr>
        <w:rPr>
          <w:rFonts w:ascii="Times New Roman" w:hAnsi="Times New Roman" w:cs="Times New Roman"/>
          <w:b/>
          <w:sz w:val="28"/>
          <w:szCs w:val="28"/>
        </w:rPr>
      </w:pPr>
      <w:r w:rsidRPr="00786AB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Рекомендации: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Учителям математики: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 к государственной итоговой аттестации должна быть обеспечена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планомерным обобщением и систематизацией знаний из различных разделов курса математики,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варьированием стандартных условий задачи, рассмотрением новых типов заданий. При этом</w:t>
      </w:r>
      <w:r w:rsidR="00934B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уделять большее внимание содержательному раскрытию математических понятий, их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свойств и признаков (особенно в геометрии), развитию логической культуры, объяснению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сущности математических методов и границ их приложений.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ходе изучения курса геометрии необходимо исходить из того, что решение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конкретных задач ‒ это не самоцель. Главной целью должно являться формирование умений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анализировать предлагаемую в задаче конфигурацию, видеть в ней детали, их свойства,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позволяющие обосновывать шаги решения и проводить вычисления. Грамотно организованная</w:t>
      </w:r>
      <w:r w:rsidR="00934B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с чертежом (анализ чертежа, его чтение, преобразование) позволит продвинуться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учащимся в поиске путей решения геометрических задач. Не следует в процессе обучения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математике злоупотреблять тестовой формой контроля.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сосредоточить внимание учащихся на обсуждении подходов к решению задач,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выбору способов решения, проверке полученных ответов на правдоподобие и соответствие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 в задаче. Необходимым условием успешной подготовки учащихся к государственной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итоговой аттестации является, в первую очередь, изучение и осмысление совместно с учителем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нормативных документов – демонстрационного варианта ЕГЭ текущего года и спецификации</w:t>
      </w:r>
      <w:r w:rsidR="00934B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экзаменационной работы по математике.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 условиях двухуровневого экзамена учителям необходимо усилить разъяснительную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работу среди обучающихся и их родителей, направляя и поощряя их сознательный выбор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требуемого и необходимого уровня математического образования и уровня государственной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итоговой аттестации по математике.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организации непосредственной подготовки к ЕГЭ по математике учителю и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обучающемуся (непосредственному участнику ЕГЭ) рекомендуем как можно точнее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определить целевые установки, уровень знаний и умений, проблемные моменты и в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этим выработать собственную стратегию подготовки. Учителям математики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осуществлять дифференцированную работу с учащимся, имеющими различный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уровень базовой подготовки по предмету. Для этого учителю необходимо иметь реальные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 об уровне подготовки каждого обучающегося и ставить перед ним ту цель,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которую он может реализовать. Не надо навязывать «слабому» школьнику необходимость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 задач повышенного и тем более высокого уровня сложности, лучше дать ему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проработать базовые умения. Но точно так же не надо без необходимости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задерживать «сильного» ученика на решении заданий базового уровня. Возможно опираться на</w:t>
      </w:r>
      <w:r w:rsidR="00E43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самооценку и устремления каждого обучающегося. При подготовке обучающихся, рискующих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преодолеть минимального пор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ога, использовать диагностику и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постановку реалистичных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целей в изучении предмета и подготовке к экзамену, в освоении ключевых понятий курса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математики и развитии </w:t>
      </w: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метапредметных</w:t>
      </w:r>
      <w:proofErr w:type="spell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умений.</w:t>
      </w:r>
    </w:p>
    <w:p w:rsidR="00917B29" w:rsidRPr="00786ABE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Рекомендуется разработать для каждого </w:t>
      </w:r>
      <w:r w:rsidR="00E43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обучающего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</w:t>
      </w:r>
      <w:r w:rsidR="00E43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индивидуальный маршрут восполнения пробелов в знаниях.</w:t>
      </w:r>
    </w:p>
    <w:p w:rsidR="00E4354E" w:rsidRDefault="00E4354E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Учителям русского языка: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 диагностические работы с целью определения текущего уровня знаний (на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начальном этапе) и уровня освоения раздела или отдельной темы. Постоянно уделять внимание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темам, которые вызывают затруднения у обучающихся при выполнении заданий,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систематически проводить тренировочные и диагностические работы с целью выявления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сложностей в освоении языкового материала.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способность опознавать языковые единицы, анализировать их с точки зрения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правильности, точности и уместности употребления, также развивать умение точно и уместно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употреблять языковые единицы в устной и письменной речи, в связи с этим на уроках русского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языка больше работать с анализом языковых явлений. Развивать умение анализировать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структуру разных видов предложений, особое внимание уделить развитию умения применять в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практике письма пунктуационные нормы русского языка.</w:t>
      </w:r>
    </w:p>
    <w:p w:rsidR="00917B29" w:rsidRPr="00786ABE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для анализа в практике преподавания тексты разнообразной тематики,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стилей и типов речи, жанров, совершенствовать навык стилистического анализа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текста. Повышать уровень функциональной грамотности и читательской культуры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обучающихся; развивать навык внимательного чтения, развивать умение извлекать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необходимую информацию из различных источников, в том числе электронных.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Включать задания, связанные с разными видами анализа языковых явлений, в работу на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уроках литературы. Находить возможность включать в образовательную программу элективные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факультативные курсов по русскому языку, что будет способствовать непрерывной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подготовке к экзамену, также проводить консультации для разных групп обучающихся.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Включать в работу на уроках, элективных и факультативных курсах задания, которые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направлены на формирование способности рассуждать, делать выводы, использовать и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свой творческий и интеллектуальный потенциал, таким образом развивать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самостоятельность мышления обучающихся.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Учителям изучать специфику работы различных электронных образовательных ресурсов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рекомендовать обучающимся лучшие из них для самостоятельной подготовки.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Применять в процессе обучения русскому языку современные образовательные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технологии и активные методы обучения, направленные на активную познавательную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деятельность обучающихся: проблемные технологии, которые предполагают создание под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руководством учителя проблемных ситуаций и активную самостоятельную деятельность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по их разрешению, в результате чего и происходит творческое овладение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знаниями, навыками, умениями и развитие мыслительных способностей; проектные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технологии, нацелены на создание условий, при которых обучающийся самостоятельно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приобретает необходимые знания из разных источников, учится применять приобретенные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знания в учебной и </w:t>
      </w: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внеучебной</w:t>
      </w:r>
      <w:proofErr w:type="spell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деятельности, развивает исследовательские способности;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технологии уровневой дифференциации обучения, целью которой является организация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учебного процесса на основе учета индивидуальных особенностей личности каждого ребенка.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Учителям русско</w:t>
      </w:r>
      <w:r w:rsidR="00E43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 языка подготовку к ЕГЭ в 2025-2026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учебном году следует начинать</w:t>
      </w:r>
      <w:r w:rsidR="00E43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ознакомления с «Методическими рекомендациями для учителей, подготовленными на основе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анализа тип</w:t>
      </w:r>
      <w:r w:rsidR="00E43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ичных ошибок участников ЕГЭ 2025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 по русскому языку».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 методики преподавания русского языка в школе должно включать в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себя следующие направления деятельности</w:t>
      </w:r>
      <w:r w:rsidR="00E43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планировании работы с учащимися особое внимание необходимо уделить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проектированию педагогических технологий изучения наиболее трудно усваиваемых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учащимися вопросов предметного содержания и формирования специальных предметных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умений, используя статистико-аналитический отчет по русск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ому языку о результатах.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2 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Регулярно</w:t>
      </w:r>
      <w:proofErr w:type="gram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проводить работу по развитию устной монологической и диалогической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речи учащихся. Соблюдать принцип </w:t>
      </w: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тексто</w:t>
      </w:r>
      <w:proofErr w:type="spellEnd"/>
      <w:r w:rsidR="00E43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ориентированного обучения русскому языку для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комплексных коммуникативных умений учащихся.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уроках русского языка расширить формы работы с текстом в направлении «от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 к языковой единице» и «от языкового факта к тексту», осуществлять формирование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 комплексного анализа текста.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развивать способности старшеклассников анализировать тенденции,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закономерности,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проблемы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общественной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жизни,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совершенствовать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логикоаналитического</w:t>
      </w:r>
      <w:proofErr w:type="spell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речевого характера, связанные с созданием собственного речевого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высказывания: умения рассуждать, сопоставлять, оценивать, аргументировать, делать выводы.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Усилить аксиологический аспект в преподавании русского языка, предполагающий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у учащихся общекультурных компетенций.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Совершенствовать работу по формированию лингвистической и языковой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компетенции учащихся с учетом сложившейся социолингвистической ситуации.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7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Интенсивнее включать в деятельность учащихся различные виды языкового разбора,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особенного синтаксического, пунктуационного и лексического.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8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Повышать уровень орфографической и пунктуационной практической грамотности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путем совершенствования речевой деятельности (чтения, письма, слушания, говорения),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когнитивные методы при формировании орфографических и пунктуационных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 формирования.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9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Уделять внимание логико-смысловому анализу отдельных синтаксических единиц и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 в целом.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10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Осуществлять различные формы словарной работы.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11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освоении лексической системы русского языка обращать внимание учащихся на</w:t>
      </w:r>
      <w:r w:rsidR="00786ABE"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стилистическую и эмоционально-экспрессивную дифференциацию лексики.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12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Реализовывать </w:t>
      </w:r>
      <w:proofErr w:type="spellStart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метапредметные</w:t>
      </w:r>
      <w:proofErr w:type="spellEnd"/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связи в преподавании русского языка,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способствующие повышению общекультурного уровня учащихся.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13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Включать в систему контроля знаний учащихся задания различного характера: как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репродуктивного, так и исследовательского; не ограничиваться тестами одного вида с выбором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ответа.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14</w:t>
      </w:r>
      <w:r w:rsidR="00E435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917B2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Совместно с психологом оказывать психологическую помощь учащимся и их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7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родителям.</w:t>
      </w:r>
    </w:p>
    <w:p w:rsidR="00917B29" w:rsidRPr="00917B29" w:rsidRDefault="00917B29" w:rsidP="00917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17B29" w:rsidRPr="00786ABE" w:rsidRDefault="00917B29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5CE" w:rsidRPr="00786ABE" w:rsidRDefault="001035CE" w:rsidP="00B0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5CE" w:rsidRPr="001035CE" w:rsidRDefault="001035CE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035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Сведения</w:t>
      </w:r>
    </w:p>
    <w:p w:rsidR="001035CE" w:rsidRDefault="008251E8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результатах ЕГЭ – 2025</w:t>
      </w:r>
      <w:r w:rsidR="001035CE" w:rsidRPr="001035C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по предметам по выбору</w:t>
      </w:r>
    </w:p>
    <w:p w:rsidR="00E4354E" w:rsidRPr="001035CE" w:rsidRDefault="00E4354E" w:rsidP="00103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tbl>
      <w:tblPr>
        <w:tblStyle w:val="a3"/>
        <w:tblW w:w="10065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1701"/>
        <w:gridCol w:w="1708"/>
        <w:gridCol w:w="1411"/>
        <w:gridCol w:w="1421"/>
        <w:gridCol w:w="1981"/>
        <w:gridCol w:w="1843"/>
      </w:tblGrid>
      <w:tr w:rsidR="00E4354E" w:rsidRPr="00786ABE" w:rsidTr="00E4354E">
        <w:tc>
          <w:tcPr>
            <w:tcW w:w="1701" w:type="dxa"/>
          </w:tcPr>
          <w:p w:rsidR="00E4354E" w:rsidRPr="004B2B9A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количество выпускников</w:t>
            </w:r>
          </w:p>
          <w:p w:rsidR="00E4354E" w:rsidRPr="004B2B9A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(чел.)</w:t>
            </w:r>
          </w:p>
          <w:p w:rsidR="00E4354E" w:rsidRPr="00786ABE" w:rsidRDefault="00E4354E" w:rsidP="0081142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0" w:type="dxa"/>
            <w:gridSpan w:val="3"/>
          </w:tcPr>
          <w:p w:rsidR="00E4354E" w:rsidRPr="00786ABE" w:rsidRDefault="00E4354E" w:rsidP="00E4354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981" w:type="dxa"/>
          </w:tcPr>
          <w:p w:rsidR="00E4354E" w:rsidRPr="004B2B9A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макс.</w:t>
            </w:r>
          </w:p>
          <w:p w:rsidR="00E4354E" w:rsidRPr="004B2B9A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полученный</w:t>
            </w:r>
          </w:p>
          <w:p w:rsidR="00E4354E" w:rsidRPr="004B2B9A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(первичный    /тестовый)</w:t>
            </w:r>
          </w:p>
          <w:p w:rsidR="00E4354E" w:rsidRPr="00786ABE" w:rsidRDefault="00E4354E" w:rsidP="0081142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E4354E" w:rsidRPr="004B2B9A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мин.</w:t>
            </w:r>
          </w:p>
          <w:p w:rsidR="00E4354E" w:rsidRPr="004B2B9A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получе</w:t>
            </w:r>
            <w:r w:rsidRPr="00786AB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нный</w:t>
            </w:r>
          </w:p>
          <w:p w:rsidR="00E4354E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B2B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E4354E" w:rsidRPr="004B2B9A" w:rsidRDefault="00E4354E" w:rsidP="00811428">
            <w:pPr>
              <w:shd w:val="clear" w:color="auto" w:fill="FFFFFF"/>
              <w:ind w:right="51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(первичный/тестовый)</w:t>
            </w:r>
          </w:p>
          <w:p w:rsidR="00E4354E" w:rsidRPr="00786ABE" w:rsidRDefault="00E4354E" w:rsidP="0081142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E4354E" w:rsidRPr="00786ABE" w:rsidTr="00E4354E">
        <w:trPr>
          <w:trHeight w:val="735"/>
        </w:trPr>
        <w:tc>
          <w:tcPr>
            <w:tcW w:w="1701" w:type="dxa"/>
            <w:vMerge w:val="restart"/>
          </w:tcPr>
          <w:p w:rsidR="00E4354E" w:rsidRPr="00786ABE" w:rsidRDefault="00E4354E" w:rsidP="0081142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86AB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8" w:type="dxa"/>
          </w:tcPr>
          <w:p w:rsidR="00E4354E" w:rsidRPr="00B02DB3" w:rsidRDefault="00E4354E" w:rsidP="008114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 </w:t>
            </w: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преодолели</w:t>
            </w:r>
          </w:p>
          <w:p w:rsidR="00E4354E" w:rsidRPr="00786ABE" w:rsidRDefault="00E4354E" w:rsidP="00811428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минимального порога (чел.)</w:t>
            </w:r>
          </w:p>
        </w:tc>
        <w:tc>
          <w:tcPr>
            <w:tcW w:w="1411" w:type="dxa"/>
          </w:tcPr>
          <w:p w:rsidR="00E4354E" w:rsidRPr="00B02DB3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% от</w:t>
            </w:r>
          </w:p>
          <w:p w:rsidR="00E4354E" w:rsidRPr="00B02DB3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участвовавших</w:t>
            </w:r>
          </w:p>
          <w:p w:rsidR="00E4354E" w:rsidRPr="00786ABE" w:rsidRDefault="00E4354E" w:rsidP="0081142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1" w:type="dxa"/>
          </w:tcPr>
          <w:p w:rsidR="00E4354E" w:rsidRPr="00B02DB3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средний</w:t>
            </w:r>
          </w:p>
          <w:p w:rsidR="00E4354E" w:rsidRPr="00B02DB3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2D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балл</w:t>
            </w:r>
          </w:p>
          <w:p w:rsidR="00E4354E" w:rsidRPr="00786ABE" w:rsidRDefault="00E4354E" w:rsidP="00811428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тестовый</w:t>
            </w:r>
          </w:p>
        </w:tc>
        <w:tc>
          <w:tcPr>
            <w:tcW w:w="1981" w:type="dxa"/>
            <w:vMerge w:val="restart"/>
          </w:tcPr>
          <w:p w:rsidR="00E4354E" w:rsidRPr="00786ABE" w:rsidRDefault="00E4354E" w:rsidP="0081142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28/70</w:t>
            </w:r>
          </w:p>
        </w:tc>
        <w:tc>
          <w:tcPr>
            <w:tcW w:w="1843" w:type="dxa"/>
            <w:vMerge w:val="restart"/>
          </w:tcPr>
          <w:p w:rsidR="00E4354E" w:rsidRPr="00786ABE" w:rsidRDefault="00E4354E" w:rsidP="00E4354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19/56</w:t>
            </w:r>
          </w:p>
        </w:tc>
      </w:tr>
      <w:tr w:rsidR="00E4354E" w:rsidRPr="00786ABE" w:rsidTr="00E4354E">
        <w:trPr>
          <w:trHeight w:val="365"/>
        </w:trPr>
        <w:tc>
          <w:tcPr>
            <w:tcW w:w="1701" w:type="dxa"/>
            <w:vMerge/>
          </w:tcPr>
          <w:p w:rsidR="00E4354E" w:rsidRPr="00786ABE" w:rsidRDefault="00E4354E" w:rsidP="0081142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8" w:type="dxa"/>
          </w:tcPr>
          <w:p w:rsidR="00E4354E" w:rsidRPr="00786ABE" w:rsidRDefault="00E4354E" w:rsidP="008114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</w:tcPr>
          <w:p w:rsidR="00E4354E" w:rsidRPr="00786ABE" w:rsidRDefault="00E4354E" w:rsidP="008114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86A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</w:tcPr>
          <w:p w:rsidR="00E4354E" w:rsidRPr="00786ABE" w:rsidRDefault="00E4354E" w:rsidP="008114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1" w:type="dxa"/>
            <w:vMerge/>
          </w:tcPr>
          <w:p w:rsidR="00E4354E" w:rsidRPr="00786ABE" w:rsidRDefault="00E4354E" w:rsidP="0081142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4354E" w:rsidRPr="00786ABE" w:rsidRDefault="00E4354E" w:rsidP="0081142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</w:tbl>
    <w:p w:rsidR="00E4354E" w:rsidRPr="00786ABE" w:rsidRDefault="00E4354E" w:rsidP="00E435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9B5" w:rsidRPr="00292E64" w:rsidRDefault="000539B5" w:rsidP="000539B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92E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Сравнительная динамика результатов ЕГЭ по школе (средние баллы)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24"/>
        <w:gridCol w:w="924"/>
        <w:gridCol w:w="924"/>
        <w:gridCol w:w="772"/>
        <w:gridCol w:w="739"/>
        <w:gridCol w:w="739"/>
        <w:gridCol w:w="925"/>
        <w:gridCol w:w="925"/>
        <w:gridCol w:w="925"/>
      </w:tblGrid>
      <w:tr w:rsidR="000539B5" w:rsidRPr="00292E64" w:rsidTr="00811428">
        <w:trPr>
          <w:cantSplit/>
          <w:trHeight w:val="2262"/>
        </w:trPr>
        <w:tc>
          <w:tcPr>
            <w:tcW w:w="1526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924" w:type="dxa"/>
            <w:textDirection w:val="btLr"/>
          </w:tcPr>
          <w:p w:rsidR="000539B5" w:rsidRPr="00292E64" w:rsidRDefault="000539B5" w:rsidP="00811428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24" w:type="dxa"/>
            <w:textDirection w:val="btLr"/>
          </w:tcPr>
          <w:p w:rsidR="000539B5" w:rsidRPr="00292E64" w:rsidRDefault="000539B5" w:rsidP="00811428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проф.</w:t>
            </w:r>
          </w:p>
        </w:tc>
        <w:tc>
          <w:tcPr>
            <w:tcW w:w="924" w:type="dxa"/>
            <w:textDirection w:val="btLr"/>
          </w:tcPr>
          <w:p w:rsidR="000539B5" w:rsidRPr="00292E64" w:rsidRDefault="000539B5" w:rsidP="00811428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баз.</w:t>
            </w:r>
          </w:p>
        </w:tc>
        <w:tc>
          <w:tcPr>
            <w:tcW w:w="772" w:type="dxa"/>
            <w:textDirection w:val="btLr"/>
          </w:tcPr>
          <w:p w:rsidR="000539B5" w:rsidRPr="00292E64" w:rsidRDefault="000539B5" w:rsidP="00811428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39" w:type="dxa"/>
            <w:textDirection w:val="btLr"/>
          </w:tcPr>
          <w:p w:rsidR="000539B5" w:rsidRPr="00292E64" w:rsidRDefault="000539B5" w:rsidP="00811428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39" w:type="dxa"/>
            <w:textDirection w:val="btLr"/>
          </w:tcPr>
          <w:p w:rsidR="000539B5" w:rsidRPr="00292E64" w:rsidRDefault="000539B5" w:rsidP="00811428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25" w:type="dxa"/>
            <w:textDirection w:val="btLr"/>
          </w:tcPr>
          <w:p w:rsidR="000539B5" w:rsidRPr="00292E64" w:rsidRDefault="000539B5" w:rsidP="00811428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25" w:type="dxa"/>
            <w:textDirection w:val="btLr"/>
          </w:tcPr>
          <w:p w:rsidR="000539B5" w:rsidRPr="00292E64" w:rsidRDefault="000539B5" w:rsidP="00811428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25" w:type="dxa"/>
            <w:textDirection w:val="btLr"/>
          </w:tcPr>
          <w:p w:rsidR="000539B5" w:rsidRPr="00292E64" w:rsidRDefault="000539B5" w:rsidP="00811428">
            <w:pPr>
              <w:ind w:left="113"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0539B5" w:rsidRPr="00292E64" w:rsidTr="00811428">
        <w:tc>
          <w:tcPr>
            <w:tcW w:w="1526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10,5/3</w:t>
            </w:r>
          </w:p>
        </w:tc>
        <w:tc>
          <w:tcPr>
            <w:tcW w:w="772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9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9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39B5" w:rsidRPr="00292E64" w:rsidTr="00811428">
        <w:tc>
          <w:tcPr>
            <w:tcW w:w="1526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13,6/4</w:t>
            </w:r>
          </w:p>
        </w:tc>
        <w:tc>
          <w:tcPr>
            <w:tcW w:w="772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0539B5" w:rsidRPr="00292E64" w:rsidRDefault="000539B5" w:rsidP="00811428">
            <w:pPr>
              <w:spacing w:before="100" w:after="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9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39B5" w:rsidRPr="00292E64" w:rsidTr="00811428">
        <w:tc>
          <w:tcPr>
            <w:tcW w:w="1526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18,3/5</w:t>
            </w:r>
          </w:p>
        </w:tc>
        <w:tc>
          <w:tcPr>
            <w:tcW w:w="772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0539B5" w:rsidRPr="00292E64" w:rsidRDefault="000539B5" w:rsidP="00811428">
            <w:pPr>
              <w:spacing w:before="100" w:after="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9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539B5" w:rsidRPr="00292E64" w:rsidTr="00811428">
        <w:tc>
          <w:tcPr>
            <w:tcW w:w="1526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4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12/3,5</w:t>
            </w:r>
          </w:p>
        </w:tc>
        <w:tc>
          <w:tcPr>
            <w:tcW w:w="772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0539B5" w:rsidRPr="00292E64" w:rsidRDefault="000539B5" w:rsidP="00811428">
            <w:pPr>
              <w:spacing w:before="100" w:after="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9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0539B5" w:rsidRPr="00292E64" w:rsidRDefault="000539B5" w:rsidP="00811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2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F1AD1" w:rsidRDefault="000F1AD1" w:rsidP="00786ABE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bookmarkStart w:id="0" w:name="_GoBack"/>
      <w:bookmarkEnd w:id="0"/>
    </w:p>
    <w:p w:rsidR="001035CE" w:rsidRPr="000F1AD1" w:rsidRDefault="00786ABE" w:rsidP="000F1AD1">
      <w:pPr>
        <w:rPr>
          <w:rFonts w:ascii="Times New Roman" w:hAnsi="Times New Roman" w:cs="Times New Roman"/>
          <w:b/>
          <w:sz w:val="28"/>
          <w:szCs w:val="28"/>
        </w:rPr>
      </w:pPr>
      <w:r w:rsidRPr="00786AB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Рекомендации: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786ABE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Учителям-предметникам: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Провести детальный анализ результатов государственной итоговой аттестации в форме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ЕГЭ исходя из особенностей образовательной программы. Учителям всех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общеобразовательных предметов, заявленных в государственной итоговой аттестации выпускников 11-х классов 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Определить целевые установки (обучающиеся с низким уровнем подготовки,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обучающиеся, имеющие достаточный уровень базовой подготовки, но не планирующие использовать результаты экзаменов для поступления в профильную группу на уровне среднего общего образования, обучающиеся, имеющие достаточный уровень базовой подготовки, планирующие использовать результаты экзамена для поступления в профильные группы), уровень знаний и проблемные зоны выпускников, выработать стратегию подготовки к экзаменам.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Применять адекватные формы и методы работы со слабыми и сильными учащимися.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 знакомиться с демоверсиями ЕГЭ спецификацией, кодификатором,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отражающими требования образовательного стандарта по предметам.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Учителям органично включать задания, идентичные заданиям ЕГЭ в текущие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контрольные работы. Адекватно оценивать в течение всего учебного периода знания, умения и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навыки учащихся в соответствии с их индивидуальными особенностями и возможностями.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 выявлять обучающихся, имеющих слабую предметную подготовку,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диагностировать доминирующие факторы их </w:t>
      </w:r>
      <w:proofErr w:type="spellStart"/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неуспешности</w:t>
      </w:r>
      <w:proofErr w:type="spellEnd"/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повышать мотивацию к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ликвидации пробелов в своих знаниях.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Провести анализ собственных затруднений при выполнении тестовых заданий и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обозначить способы их устранения. Осуществлять поддержку осознанного выбора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выпускниками 11-х классов экзаменов для прохождения итоговой аттестации.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Создавать положительное эмоциональное поле взаимоотношений «учитель – ученик»,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«учитель – учитель», «ученик – ученик». Осуществлять взаимодействие с родителями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с целью организации совместных действий для решения успешности подготовки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итоговой аттестации.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86AB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Классным руководителям: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Усилить информационно-разъяснительную работу с обучающимися, родителями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(законными представителями) в целях ликвидации незнания процедуры проведения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 итоговой аттестации, особенно в части соблюдения информационной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безопасности.</w:t>
      </w:r>
    </w:p>
    <w:p w:rsidR="00786ABE" w:rsidRPr="00786ABE" w:rsidRDefault="00786ABE" w:rsidP="00786AB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государс</w:t>
      </w:r>
      <w:r w:rsidR="00E43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твенной итоговой аттестации 2024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/202</w:t>
      </w:r>
      <w:r w:rsidR="00E43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учебного года довести до родителей, учащихся 11-х классов на родительском собрании в сентябре 202</w:t>
      </w:r>
      <w:r w:rsidR="00E435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5/26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учебного года.</w:t>
      </w:r>
    </w:p>
    <w:p w:rsidR="00786ABE" w:rsidRPr="00786ABE" w:rsidRDefault="00786ABE" w:rsidP="00786AB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 выявлять дефициты в информированности выпускников и их родителей о процедуре ЕГЭ.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Формировать позитивное отношение у выпускников и их родителей к ЕГЭ. Оказывать</w:t>
      </w:r>
    </w:p>
    <w:p w:rsid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86A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помощь каждому выпускнику в выборе предметов для прохождения аттестации в форме ЕГЭ</w:t>
      </w:r>
      <w:r w:rsidR="000F1A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F1AD1" w:rsidRDefault="000F1AD1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1AD1" w:rsidRDefault="000F1AD1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F1AD1" w:rsidRPr="00786ABE" w:rsidRDefault="00E4354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Справку составила зам. директора ______________/Минаева Т.В.</w:t>
      </w:r>
      <w:r w:rsidR="000F1AD1" w:rsidRPr="000F1AD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/</w:t>
      </w:r>
    </w:p>
    <w:p w:rsidR="00786ABE" w:rsidRPr="00786ABE" w:rsidRDefault="00786ABE" w:rsidP="00786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035CE" w:rsidRPr="00786ABE" w:rsidRDefault="001035CE" w:rsidP="00103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35CE" w:rsidRPr="00786ABE" w:rsidSect="00E4354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B3"/>
    <w:rsid w:val="00006AE4"/>
    <w:rsid w:val="000539B5"/>
    <w:rsid w:val="000F1AD1"/>
    <w:rsid w:val="001035CE"/>
    <w:rsid w:val="002025B3"/>
    <w:rsid w:val="00254C9E"/>
    <w:rsid w:val="00292E64"/>
    <w:rsid w:val="00363B80"/>
    <w:rsid w:val="004B2B9A"/>
    <w:rsid w:val="00786ABE"/>
    <w:rsid w:val="007A70DF"/>
    <w:rsid w:val="008251E8"/>
    <w:rsid w:val="00917B29"/>
    <w:rsid w:val="00934BE4"/>
    <w:rsid w:val="00A017D1"/>
    <w:rsid w:val="00A21B98"/>
    <w:rsid w:val="00B02DB3"/>
    <w:rsid w:val="00B963D6"/>
    <w:rsid w:val="00E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5EB84-4136-4EE2-B516-32A52B52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PC2</cp:lastModifiedBy>
  <cp:revision>12</cp:revision>
  <dcterms:created xsi:type="dcterms:W3CDTF">2025-05-26T11:44:00Z</dcterms:created>
  <dcterms:modified xsi:type="dcterms:W3CDTF">2025-06-19T07:19:00Z</dcterms:modified>
</cp:coreProperties>
</file>